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02" w:rsidRPr="002C3A08" w:rsidRDefault="00694602" w:rsidP="005E1307">
      <w:pPr>
        <w:spacing w:after="0" w:line="240" w:lineRule="auto"/>
        <w:rPr>
          <w:rFonts w:cstheme="minorHAnsi"/>
          <w:sz w:val="24"/>
          <w:szCs w:val="24"/>
        </w:rPr>
      </w:pPr>
    </w:p>
    <w:p w:rsidR="002C3A08" w:rsidRPr="005B3E63" w:rsidRDefault="007E21AD" w:rsidP="005E1307">
      <w:pPr>
        <w:spacing w:after="0" w:line="240" w:lineRule="auto"/>
        <w:rPr>
          <w:rFonts w:cstheme="minorHAnsi"/>
          <w:b/>
          <w:sz w:val="28"/>
          <w:szCs w:val="28"/>
        </w:rPr>
      </w:pPr>
      <w:r w:rsidRPr="005B3E63">
        <w:rPr>
          <w:rFonts w:cstheme="minorHAnsi"/>
          <w:b/>
          <w:sz w:val="28"/>
          <w:szCs w:val="28"/>
        </w:rPr>
        <w:t>Federal Laws:</w:t>
      </w:r>
    </w:p>
    <w:p w:rsidR="00694602" w:rsidRPr="005B3E63" w:rsidRDefault="00694602" w:rsidP="005B3E63">
      <w:pPr>
        <w:pStyle w:val="ListParagraph"/>
        <w:numPr>
          <w:ilvl w:val="0"/>
          <w:numId w:val="5"/>
        </w:numPr>
        <w:spacing w:after="0" w:line="240" w:lineRule="auto"/>
        <w:rPr>
          <w:rFonts w:cstheme="minorHAnsi"/>
          <w:sz w:val="24"/>
          <w:szCs w:val="24"/>
        </w:rPr>
      </w:pPr>
      <w:r w:rsidRPr="005B3E63">
        <w:rPr>
          <w:rFonts w:cstheme="minorHAnsi"/>
          <w:sz w:val="24"/>
          <w:szCs w:val="24"/>
        </w:rPr>
        <w:t xml:space="preserve">CIPA:  The Children’s Internet Protection Act (CIPA) is a </w:t>
      </w:r>
      <w:r w:rsidRPr="005B3E63">
        <w:rPr>
          <w:rFonts w:cstheme="minorHAnsi"/>
          <w:b/>
          <w:sz w:val="24"/>
          <w:szCs w:val="24"/>
        </w:rPr>
        <w:t>federal</w:t>
      </w:r>
      <w:r w:rsidRPr="005B3E63">
        <w:rPr>
          <w:rFonts w:cstheme="minorHAnsi"/>
          <w:sz w:val="24"/>
          <w:szCs w:val="24"/>
        </w:rPr>
        <w:t xml:space="preserve"> law that requires all computers in a public library to be filtered if that library accepts any federal funds for Internet access or computers used for Internet access (Supreme Court Decision: United States v. American Library Association, Inc., No. 02-361 (June 23, 2003)).</w:t>
      </w:r>
    </w:p>
    <w:p w:rsidR="002C3A08" w:rsidRDefault="002C3A08" w:rsidP="005E1307">
      <w:pPr>
        <w:spacing w:after="0" w:line="240" w:lineRule="auto"/>
        <w:rPr>
          <w:rFonts w:cstheme="minorHAnsi"/>
          <w:sz w:val="24"/>
          <w:szCs w:val="24"/>
        </w:rPr>
      </w:pPr>
    </w:p>
    <w:p w:rsidR="002C3A08" w:rsidRPr="005B3E63" w:rsidRDefault="002C3A08" w:rsidP="005B3E63">
      <w:pPr>
        <w:pStyle w:val="ListParagraph"/>
        <w:numPr>
          <w:ilvl w:val="0"/>
          <w:numId w:val="5"/>
        </w:numPr>
        <w:spacing w:after="0" w:line="240" w:lineRule="auto"/>
        <w:rPr>
          <w:rFonts w:cstheme="minorHAnsi"/>
          <w:sz w:val="24"/>
          <w:szCs w:val="24"/>
        </w:rPr>
      </w:pPr>
      <w:r w:rsidRPr="005B3E63">
        <w:rPr>
          <w:rFonts w:cstheme="minorHAnsi"/>
          <w:sz w:val="24"/>
          <w:szCs w:val="24"/>
        </w:rPr>
        <w:t>Patriot Act/FISA Warrants:</w:t>
      </w:r>
    </w:p>
    <w:p w:rsidR="004B7881" w:rsidRPr="004B7881" w:rsidRDefault="004B7881" w:rsidP="004B7881">
      <w:pPr>
        <w:rPr>
          <w:rFonts w:cstheme="minorHAnsi"/>
          <w:sz w:val="24"/>
          <w:szCs w:val="24"/>
        </w:rPr>
      </w:pPr>
      <w:r w:rsidRPr="004B7881">
        <w:rPr>
          <w:rFonts w:cstheme="minorHAnsi"/>
          <w:sz w:val="24"/>
          <w:szCs w:val="24"/>
        </w:rPr>
        <w:t xml:space="preserve">Uniting and Strengthening America by Providing Appropriate Tools Required to Intercept and Obstruct Terrorism  Act of 2001 Public Law 107-56 (October 26, 2001) </w:t>
      </w:r>
    </w:p>
    <w:p w:rsidR="002C3A08" w:rsidRDefault="00007562" w:rsidP="005E1307">
      <w:pPr>
        <w:spacing w:after="0" w:line="240" w:lineRule="auto"/>
        <w:rPr>
          <w:rFonts w:cstheme="minorHAnsi"/>
          <w:sz w:val="24"/>
          <w:szCs w:val="24"/>
        </w:rPr>
      </w:pPr>
      <w:hyperlink r:id="rId5" w:history="1">
        <w:r w:rsidR="004B7881" w:rsidRPr="000E658E">
          <w:rPr>
            <w:rStyle w:val="Hyperlink"/>
            <w:rFonts w:cstheme="minorHAnsi"/>
            <w:sz w:val="24"/>
            <w:szCs w:val="24"/>
          </w:rPr>
          <w:t>http://www.ala.org/advocacy/sites/ala.org.advocacy/files/content/advleg/federallegislation/theusapatriotact/patstep.pdf</w:t>
        </w:r>
      </w:hyperlink>
      <w:r w:rsidR="004B7881">
        <w:rPr>
          <w:rFonts w:cstheme="minorHAnsi"/>
          <w:sz w:val="24"/>
          <w:szCs w:val="24"/>
        </w:rPr>
        <w:t xml:space="preserve"> </w:t>
      </w:r>
    </w:p>
    <w:p w:rsidR="000942FC" w:rsidRDefault="000942FC" w:rsidP="005E1307">
      <w:pPr>
        <w:spacing w:after="0" w:line="240" w:lineRule="auto"/>
        <w:rPr>
          <w:rFonts w:cstheme="minorHAnsi"/>
          <w:sz w:val="24"/>
          <w:szCs w:val="24"/>
        </w:rPr>
      </w:pPr>
    </w:p>
    <w:p w:rsidR="000942FC" w:rsidRPr="00A223BB" w:rsidRDefault="000942FC" w:rsidP="005E1307">
      <w:pPr>
        <w:spacing w:after="0" w:line="240" w:lineRule="auto"/>
        <w:rPr>
          <w:rFonts w:cstheme="minorHAnsi"/>
          <w:b/>
          <w:i/>
          <w:sz w:val="24"/>
          <w:szCs w:val="24"/>
        </w:rPr>
      </w:pPr>
      <w:r w:rsidRPr="00A223BB">
        <w:rPr>
          <w:rFonts w:cstheme="minorHAnsi"/>
          <w:b/>
          <w:i/>
          <w:sz w:val="24"/>
          <w:szCs w:val="24"/>
        </w:rPr>
        <w:t>Federal Employment Regulations FYI:</w:t>
      </w:r>
    </w:p>
    <w:p w:rsidR="000942FC" w:rsidRDefault="000942FC" w:rsidP="005E1307">
      <w:pPr>
        <w:spacing w:after="0" w:line="240" w:lineRule="auto"/>
        <w:rPr>
          <w:rFonts w:cstheme="minorHAnsi"/>
          <w:sz w:val="24"/>
          <w:szCs w:val="24"/>
        </w:rPr>
      </w:pPr>
    </w:p>
    <w:p w:rsidR="000942FC" w:rsidRDefault="00F63FA5" w:rsidP="005E1307">
      <w:pPr>
        <w:spacing w:after="0" w:line="240" w:lineRule="auto"/>
        <w:rPr>
          <w:rFonts w:cstheme="minorHAnsi"/>
          <w:sz w:val="24"/>
          <w:szCs w:val="24"/>
        </w:rPr>
      </w:pPr>
      <w:r w:rsidRPr="00F63FA5">
        <w:rPr>
          <w:rFonts w:cstheme="minorHAnsi"/>
          <w:b/>
          <w:sz w:val="24"/>
          <w:szCs w:val="24"/>
        </w:rPr>
        <w:t>EEOC</w:t>
      </w:r>
      <w:r>
        <w:rPr>
          <w:rFonts w:cstheme="minorHAnsi"/>
          <w:sz w:val="24"/>
          <w:szCs w:val="24"/>
        </w:rPr>
        <w:t xml:space="preserve">: </w:t>
      </w:r>
      <w:r w:rsidRPr="00F63FA5">
        <w:rPr>
          <w:rFonts w:cstheme="minorHAnsi"/>
          <w:bCs/>
          <w:sz w:val="24"/>
          <w:szCs w:val="24"/>
        </w:rPr>
        <w:t xml:space="preserve">Equal Employment Opportunity Commission. </w:t>
      </w:r>
      <w:r w:rsidRPr="00F63FA5">
        <w:rPr>
          <w:rFonts w:cstheme="minorHAnsi"/>
          <w:sz w:val="24"/>
          <w:szCs w:val="24"/>
        </w:rPr>
        <w:t xml:space="preserve"> </w:t>
      </w:r>
      <w:r w:rsidR="000942FC" w:rsidRPr="00F63FA5">
        <w:rPr>
          <w:rFonts w:cstheme="minorHAnsi"/>
          <w:sz w:val="24"/>
          <w:szCs w:val="24"/>
        </w:rPr>
        <w:t xml:space="preserve">Most </w:t>
      </w:r>
      <w:r w:rsidR="000942FC" w:rsidRPr="00F63FA5">
        <w:rPr>
          <w:rFonts w:cstheme="minorHAnsi"/>
          <w:bCs/>
          <w:sz w:val="24"/>
          <w:szCs w:val="24"/>
        </w:rPr>
        <w:t>employers</w:t>
      </w:r>
      <w:r w:rsidR="000942FC" w:rsidRPr="00F63FA5">
        <w:rPr>
          <w:rFonts w:cstheme="minorHAnsi"/>
          <w:sz w:val="24"/>
          <w:szCs w:val="24"/>
        </w:rPr>
        <w:t xml:space="preserve"> with at least 15 employees are covered by </w:t>
      </w:r>
      <w:r w:rsidR="000942FC" w:rsidRPr="00F63FA5">
        <w:rPr>
          <w:rFonts w:cstheme="minorHAnsi"/>
          <w:bCs/>
          <w:sz w:val="24"/>
          <w:szCs w:val="24"/>
        </w:rPr>
        <w:t>EEOC</w:t>
      </w:r>
      <w:r w:rsidR="000942FC" w:rsidRPr="00F63FA5">
        <w:rPr>
          <w:rFonts w:cstheme="minorHAnsi"/>
          <w:sz w:val="24"/>
          <w:szCs w:val="24"/>
        </w:rPr>
        <w:t xml:space="preserve"> laws (20 employees in age discrimination cases).  The laws apply</w:t>
      </w:r>
      <w:r w:rsidR="000942FC" w:rsidRPr="000942FC">
        <w:rPr>
          <w:rFonts w:cstheme="minorHAnsi"/>
          <w:sz w:val="24"/>
          <w:szCs w:val="24"/>
        </w:rPr>
        <w:t xml:space="preserve"> to all types of work situations, including hiring, firing, promotions, harassment, training, wages, and benefits.</w:t>
      </w:r>
    </w:p>
    <w:p w:rsidR="000942FC" w:rsidRDefault="000942FC" w:rsidP="005E1307">
      <w:pPr>
        <w:spacing w:after="0" w:line="240" w:lineRule="auto"/>
        <w:rPr>
          <w:rFonts w:cstheme="minorHAnsi"/>
          <w:sz w:val="24"/>
          <w:szCs w:val="24"/>
        </w:rPr>
      </w:pPr>
    </w:p>
    <w:p w:rsidR="000942FC" w:rsidRDefault="000942FC" w:rsidP="005E1307">
      <w:pPr>
        <w:spacing w:after="0" w:line="240" w:lineRule="auto"/>
        <w:rPr>
          <w:rFonts w:cstheme="minorHAnsi"/>
          <w:sz w:val="24"/>
          <w:szCs w:val="24"/>
        </w:rPr>
      </w:pPr>
      <w:r w:rsidRPr="00F63FA5">
        <w:rPr>
          <w:rFonts w:cstheme="minorHAnsi"/>
          <w:b/>
          <w:sz w:val="24"/>
          <w:szCs w:val="24"/>
        </w:rPr>
        <w:t>FMLA</w:t>
      </w:r>
      <w:r>
        <w:rPr>
          <w:rFonts w:cstheme="minorHAnsi"/>
          <w:sz w:val="24"/>
          <w:szCs w:val="24"/>
        </w:rPr>
        <w:t xml:space="preserve">:  </w:t>
      </w:r>
      <w:r w:rsidR="00A223BB">
        <w:rPr>
          <w:rFonts w:cstheme="minorHAnsi"/>
          <w:sz w:val="24"/>
          <w:szCs w:val="24"/>
        </w:rPr>
        <w:t>The Family Medical Leave Act</w:t>
      </w:r>
      <w:r w:rsidR="00A223BB" w:rsidRPr="00A223BB">
        <w:rPr>
          <w:rFonts w:cstheme="minorHAnsi"/>
          <w:sz w:val="24"/>
          <w:szCs w:val="24"/>
        </w:rPr>
        <w:t xml:space="preserve"> only applies to employers that meet certain criteria.  A covered employer is a: • Private-sector employer, with 50 or more employees in 20 or more workweeks in the current or preceding calendar year, including a joint employer or successor in interest to a covered employer;  • Public agency, including a local, state, or Federal government agency, regardless of the number of employees it employs</w:t>
      </w:r>
      <w:r w:rsidR="00A223BB">
        <w:rPr>
          <w:rFonts w:cstheme="minorHAnsi"/>
          <w:sz w:val="24"/>
          <w:szCs w:val="24"/>
        </w:rPr>
        <w:t>.</w:t>
      </w:r>
    </w:p>
    <w:p w:rsidR="00A223BB" w:rsidRDefault="00A223BB" w:rsidP="005E1307">
      <w:pPr>
        <w:spacing w:after="0" w:line="240" w:lineRule="auto"/>
        <w:rPr>
          <w:rFonts w:cstheme="minorHAnsi"/>
          <w:sz w:val="24"/>
          <w:szCs w:val="24"/>
        </w:rPr>
      </w:pPr>
    </w:p>
    <w:p w:rsidR="00A223BB" w:rsidRDefault="00A223BB" w:rsidP="005E1307">
      <w:pPr>
        <w:spacing w:after="0" w:line="240" w:lineRule="auto"/>
        <w:rPr>
          <w:rFonts w:cstheme="minorHAnsi"/>
          <w:sz w:val="24"/>
          <w:szCs w:val="24"/>
        </w:rPr>
      </w:pPr>
      <w:r w:rsidRPr="00F63FA5">
        <w:rPr>
          <w:rFonts w:cstheme="minorHAnsi"/>
          <w:b/>
          <w:sz w:val="24"/>
          <w:szCs w:val="24"/>
        </w:rPr>
        <w:t>ACA</w:t>
      </w:r>
      <w:r>
        <w:rPr>
          <w:rFonts w:cstheme="minorHAnsi"/>
          <w:sz w:val="24"/>
          <w:szCs w:val="24"/>
        </w:rPr>
        <w:t>:  The Affordable Care Ac applies to Applicable Large Employers (ALE)</w:t>
      </w:r>
      <w:r>
        <w:rPr>
          <w:rFonts w:ascii="Arial" w:hAnsi="Arial" w:cs="Arial"/>
          <w:b/>
          <w:bCs/>
          <w:color w:val="333333"/>
        </w:rPr>
        <w:t xml:space="preserve">; </w:t>
      </w:r>
      <w:r w:rsidRPr="00A223BB">
        <w:rPr>
          <w:rFonts w:ascii="Arial" w:hAnsi="Arial" w:cs="Arial"/>
          <w:bCs/>
          <w:color w:val="333333"/>
        </w:rPr>
        <w:t>m</w:t>
      </w:r>
      <w:r w:rsidRPr="00A223BB">
        <w:rPr>
          <w:rFonts w:cstheme="minorHAnsi"/>
          <w:bCs/>
          <w:sz w:val="24"/>
          <w:szCs w:val="24"/>
        </w:rPr>
        <w:t>ore than 50 Employees</w:t>
      </w:r>
      <w:r>
        <w:rPr>
          <w:rFonts w:cstheme="minorHAnsi"/>
          <w:sz w:val="24"/>
          <w:szCs w:val="24"/>
        </w:rPr>
        <w:t xml:space="preserve">.  </w:t>
      </w:r>
      <w:r>
        <w:rPr>
          <w:rFonts w:ascii="Arial" w:hAnsi="Arial" w:cs="Arial"/>
          <w:color w:val="333333"/>
        </w:rPr>
        <w:t>ALEs are required to offer their full-time employees and dependents affordable coverage that provides minimum value.</w:t>
      </w:r>
    </w:p>
    <w:p w:rsidR="00A223BB" w:rsidRDefault="00A223BB" w:rsidP="005E1307">
      <w:pPr>
        <w:spacing w:after="0" w:line="240" w:lineRule="auto"/>
        <w:rPr>
          <w:rFonts w:cstheme="minorHAnsi"/>
          <w:sz w:val="24"/>
          <w:szCs w:val="24"/>
        </w:rPr>
      </w:pPr>
    </w:p>
    <w:p w:rsidR="00A223BB" w:rsidRPr="002C3A08" w:rsidRDefault="00A223BB" w:rsidP="005E1307">
      <w:pPr>
        <w:spacing w:after="0" w:line="240" w:lineRule="auto"/>
        <w:rPr>
          <w:rFonts w:cstheme="minorHAnsi"/>
          <w:sz w:val="24"/>
          <w:szCs w:val="24"/>
        </w:rPr>
      </w:pPr>
      <w:r>
        <w:rPr>
          <w:rFonts w:cstheme="minorHAnsi"/>
          <w:sz w:val="24"/>
          <w:szCs w:val="24"/>
        </w:rPr>
        <w:t xml:space="preserve">Under 50:  </w:t>
      </w:r>
      <w:r w:rsidRPr="00A223BB">
        <w:rPr>
          <w:rFonts w:cstheme="minorHAnsi"/>
          <w:sz w:val="24"/>
          <w:szCs w:val="24"/>
        </w:rPr>
        <w:t xml:space="preserve">Small businesses with 1–50 employees </w:t>
      </w:r>
      <w:r>
        <w:rPr>
          <w:rFonts w:cstheme="minorHAnsi"/>
          <w:sz w:val="24"/>
          <w:szCs w:val="24"/>
        </w:rPr>
        <w:t>are generally eligible for SHOP (</w:t>
      </w:r>
      <w:hyperlink r:id="rId6" w:history="1">
        <w:r w:rsidRPr="00A223BB">
          <w:rPr>
            <w:rStyle w:val="Hyperlink"/>
            <w:rFonts w:cstheme="minorHAnsi"/>
            <w:sz w:val="24"/>
            <w:szCs w:val="24"/>
          </w:rPr>
          <w:t>Small Business Health Options Program (SHOP</w:t>
        </w:r>
        <w:r w:rsidRPr="00A223BB">
          <w:rPr>
            <w:rStyle w:val="Hyperlink"/>
            <w:rFonts w:cstheme="minorHAnsi"/>
            <w:sz w:val="24"/>
            <w:szCs w:val="24"/>
          </w:rPr>
          <w:t>)</w:t>
        </w:r>
        <w:r w:rsidRPr="00A223BB">
          <w:rPr>
            <w:rStyle w:val="Hyperlink"/>
            <w:rFonts w:cstheme="minorHAnsi"/>
            <w:sz w:val="24"/>
            <w:szCs w:val="24"/>
          </w:rPr>
          <w:t xml:space="preserve"> Marketplace</w:t>
        </w:r>
      </w:hyperlink>
      <w:r>
        <w:rPr>
          <w:rFonts w:cstheme="minorHAnsi"/>
          <w:sz w:val="24"/>
          <w:szCs w:val="24"/>
        </w:rPr>
        <w:t>).</w:t>
      </w:r>
    </w:p>
    <w:p w:rsidR="007E21AD" w:rsidRDefault="007E21AD" w:rsidP="005E1307">
      <w:pPr>
        <w:spacing w:after="0" w:line="240" w:lineRule="auto"/>
        <w:rPr>
          <w:rFonts w:cstheme="minorHAnsi"/>
          <w:sz w:val="24"/>
          <w:szCs w:val="24"/>
        </w:rPr>
      </w:pPr>
    </w:p>
    <w:p w:rsidR="002C3A08" w:rsidRPr="005B3E63" w:rsidRDefault="007E21AD" w:rsidP="005E1307">
      <w:pPr>
        <w:spacing w:after="0" w:line="240" w:lineRule="auto"/>
        <w:rPr>
          <w:rFonts w:cstheme="minorHAnsi"/>
          <w:b/>
          <w:sz w:val="28"/>
          <w:szCs w:val="28"/>
        </w:rPr>
      </w:pPr>
      <w:r w:rsidRPr="005B3E63">
        <w:rPr>
          <w:rFonts w:cstheme="minorHAnsi"/>
          <w:b/>
          <w:sz w:val="28"/>
          <w:szCs w:val="28"/>
        </w:rPr>
        <w:t>State Laws:</w:t>
      </w:r>
    </w:p>
    <w:p w:rsidR="002C3A08" w:rsidRPr="005B3E63" w:rsidRDefault="002C3A08" w:rsidP="005B3E63">
      <w:pPr>
        <w:pStyle w:val="ListParagraph"/>
        <w:numPr>
          <w:ilvl w:val="0"/>
          <w:numId w:val="2"/>
        </w:numPr>
        <w:spacing w:after="0" w:line="240" w:lineRule="auto"/>
        <w:rPr>
          <w:rFonts w:cstheme="minorHAnsi"/>
          <w:sz w:val="24"/>
          <w:szCs w:val="24"/>
        </w:rPr>
      </w:pPr>
      <w:r w:rsidRPr="005B3E63">
        <w:rPr>
          <w:rFonts w:cstheme="minorHAnsi"/>
          <w:sz w:val="24"/>
          <w:szCs w:val="24"/>
        </w:rPr>
        <w:t>Child Protective Services Laws/Mandated Reporter:</w:t>
      </w:r>
    </w:p>
    <w:p w:rsidR="002C3A08" w:rsidRPr="002C3A08" w:rsidRDefault="00007562" w:rsidP="005E1307">
      <w:pPr>
        <w:spacing w:after="0" w:line="240" w:lineRule="auto"/>
        <w:rPr>
          <w:rFonts w:cstheme="minorHAnsi"/>
          <w:color w:val="666666"/>
          <w:sz w:val="24"/>
          <w:szCs w:val="24"/>
        </w:rPr>
      </w:pPr>
      <w:hyperlink r:id="rId7" w:history="1">
        <w:r w:rsidR="002C3A08" w:rsidRPr="002C3A08">
          <w:rPr>
            <w:rStyle w:val="Hyperlink"/>
            <w:rFonts w:cstheme="minorHAnsi"/>
            <w:sz w:val="24"/>
            <w:szCs w:val="24"/>
          </w:rPr>
          <w:t>http://www.keepkidssafe.pa.gov/about/cpsl/index.htm</w:t>
        </w:r>
      </w:hyperlink>
      <w:r w:rsidR="002C3A08" w:rsidRPr="002C3A08">
        <w:rPr>
          <w:rFonts w:cstheme="minorHAnsi"/>
          <w:color w:val="666666"/>
          <w:sz w:val="24"/>
          <w:szCs w:val="24"/>
        </w:rPr>
        <w:t xml:space="preserve"> </w:t>
      </w:r>
    </w:p>
    <w:p w:rsidR="007E21AD" w:rsidRDefault="007E21AD" w:rsidP="005E1307">
      <w:pPr>
        <w:spacing w:after="0" w:line="240" w:lineRule="auto"/>
        <w:rPr>
          <w:rFonts w:cstheme="minorHAnsi"/>
          <w:sz w:val="24"/>
          <w:szCs w:val="24"/>
        </w:rPr>
      </w:pPr>
    </w:p>
    <w:p w:rsidR="002C3A08" w:rsidRPr="004B7881" w:rsidRDefault="002C3A08" w:rsidP="005E1307">
      <w:pPr>
        <w:spacing w:after="0" w:line="240" w:lineRule="auto"/>
        <w:rPr>
          <w:rFonts w:cstheme="minorHAnsi"/>
          <w:sz w:val="24"/>
          <w:szCs w:val="24"/>
        </w:rPr>
      </w:pPr>
      <w:r w:rsidRPr="004B7881">
        <w:rPr>
          <w:rFonts w:cstheme="minorHAnsi"/>
          <w:sz w:val="24"/>
          <w:szCs w:val="24"/>
        </w:rPr>
        <w:t xml:space="preserve">Clearances information:  </w:t>
      </w:r>
    </w:p>
    <w:p w:rsidR="002C3A08" w:rsidRPr="002C3A08" w:rsidRDefault="00007562" w:rsidP="002C3A08">
      <w:pPr>
        <w:spacing w:after="0" w:line="240" w:lineRule="auto"/>
        <w:rPr>
          <w:rFonts w:cstheme="minorHAnsi"/>
          <w:color w:val="666666"/>
          <w:sz w:val="24"/>
          <w:szCs w:val="24"/>
        </w:rPr>
      </w:pPr>
      <w:hyperlink r:id="rId8" w:history="1">
        <w:r w:rsidR="002C3A08" w:rsidRPr="002C3A08">
          <w:rPr>
            <w:rStyle w:val="Hyperlink"/>
            <w:rFonts w:cstheme="minorHAnsi"/>
            <w:sz w:val="24"/>
            <w:szCs w:val="24"/>
          </w:rPr>
          <w:t>https://www.palibraries.org/page/Resources?&amp;hhsearchterms=%22clearances%22</w:t>
        </w:r>
      </w:hyperlink>
      <w:r w:rsidR="002C3A08" w:rsidRPr="002C3A08">
        <w:rPr>
          <w:rFonts w:cstheme="minorHAnsi"/>
          <w:color w:val="666666"/>
          <w:sz w:val="24"/>
          <w:szCs w:val="24"/>
        </w:rPr>
        <w:t xml:space="preserve"> </w:t>
      </w:r>
    </w:p>
    <w:p w:rsidR="002C3A08" w:rsidRPr="002C3A08" w:rsidRDefault="002C3A08" w:rsidP="002C3A08">
      <w:pPr>
        <w:spacing w:after="0" w:line="240" w:lineRule="auto"/>
        <w:rPr>
          <w:rFonts w:cstheme="minorHAnsi"/>
          <w:color w:val="666666"/>
          <w:sz w:val="24"/>
          <w:szCs w:val="24"/>
        </w:rPr>
      </w:pPr>
    </w:p>
    <w:p w:rsidR="002C3A08" w:rsidRDefault="002C3A08" w:rsidP="002C3A08">
      <w:pPr>
        <w:spacing w:after="0" w:line="240" w:lineRule="auto"/>
        <w:rPr>
          <w:rFonts w:eastAsia="Times New Roman" w:cstheme="minorHAnsi"/>
          <w:color w:val="333333"/>
          <w:spacing w:val="8"/>
          <w:sz w:val="24"/>
          <w:szCs w:val="24"/>
        </w:rPr>
      </w:pPr>
      <w:r w:rsidRPr="002C3A08">
        <w:rPr>
          <w:rFonts w:eastAsia="Times New Roman" w:cstheme="minorHAnsi"/>
          <w:color w:val="333333"/>
          <w:spacing w:val="8"/>
          <w:sz w:val="24"/>
          <w:szCs w:val="24"/>
        </w:rPr>
        <w:t>For free web-based training offered by the University of Pittsburgh</w:t>
      </w:r>
      <w:proofErr w:type="gramStart"/>
      <w:r w:rsidRPr="002C3A08">
        <w:rPr>
          <w:rFonts w:eastAsia="Times New Roman" w:cstheme="minorHAnsi"/>
          <w:color w:val="333333"/>
          <w:spacing w:val="8"/>
          <w:sz w:val="24"/>
          <w:szCs w:val="24"/>
        </w:rPr>
        <w:t>:</w:t>
      </w:r>
      <w:proofErr w:type="gramEnd"/>
      <w:r w:rsidRPr="002C3A08">
        <w:rPr>
          <w:rFonts w:eastAsia="Times New Roman" w:cstheme="minorHAnsi"/>
          <w:color w:val="333333"/>
          <w:spacing w:val="8"/>
          <w:sz w:val="24"/>
          <w:szCs w:val="24"/>
        </w:rPr>
        <w:br/>
      </w:r>
      <w:hyperlink r:id="rId9" w:tgtFrame="_blank" w:history="1">
        <w:r w:rsidRPr="002C3A08">
          <w:rPr>
            <w:rFonts w:eastAsia="Times New Roman" w:cstheme="minorHAnsi"/>
            <w:color w:val="428BCA"/>
            <w:spacing w:val="8"/>
            <w:sz w:val="24"/>
            <w:szCs w:val="24"/>
          </w:rPr>
          <w:t>www.reportabusepa.pitt.edu</w:t>
        </w:r>
      </w:hyperlink>
    </w:p>
    <w:p w:rsidR="007E21AD" w:rsidRDefault="007E21AD" w:rsidP="002C3A08">
      <w:pPr>
        <w:spacing w:after="0" w:line="240" w:lineRule="auto"/>
        <w:rPr>
          <w:rFonts w:eastAsia="Times New Roman" w:cstheme="minorHAnsi"/>
          <w:color w:val="333333"/>
          <w:spacing w:val="8"/>
          <w:sz w:val="24"/>
          <w:szCs w:val="24"/>
        </w:rPr>
      </w:pPr>
    </w:p>
    <w:p w:rsidR="005B3E63" w:rsidRPr="005B3E63" w:rsidRDefault="007E21AD" w:rsidP="005B3E63">
      <w:pPr>
        <w:pStyle w:val="ListParagraph"/>
        <w:numPr>
          <w:ilvl w:val="0"/>
          <w:numId w:val="4"/>
        </w:num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Confidentiality of Library Circulation Records:</w:t>
      </w:r>
    </w:p>
    <w:p w:rsidR="007E21AD" w:rsidRPr="005B3E63" w:rsidRDefault="007E21AD" w:rsidP="005B3E63">
      <w:pPr>
        <w:spacing w:after="0" w:line="240" w:lineRule="auto"/>
        <w:rPr>
          <w:rFonts w:eastAsia="Times New Roman" w:cstheme="minorHAnsi"/>
          <w:color w:val="333333"/>
          <w:spacing w:val="8"/>
          <w:sz w:val="24"/>
          <w:szCs w:val="24"/>
        </w:rPr>
      </w:pPr>
      <w:r>
        <w:t>[P.S.] </w:t>
      </w:r>
      <w:proofErr w:type="gramStart"/>
      <w:r>
        <w:t>§  4428</w:t>
      </w:r>
      <w:proofErr w:type="gramEnd"/>
      <w:r>
        <w:t xml:space="preserve">.  Library circulation records </w:t>
      </w:r>
    </w:p>
    <w:p w:rsidR="007E21AD" w:rsidRDefault="007E21AD" w:rsidP="007E21AD">
      <w:pPr>
        <w:rPr>
          <w:sz w:val="24"/>
          <w:szCs w:val="24"/>
        </w:rPr>
      </w:pPr>
      <w:r>
        <w:t xml:space="preserve">   </w:t>
      </w:r>
      <w:r w:rsidRPr="005B3E63">
        <w:rPr>
          <w:sz w:val="24"/>
          <w:szCs w:val="24"/>
        </w:rPr>
        <w:t xml:space="preserve">Records related to the circulation of library materials which contain the names or other personally identifying details regarding the users of the State Library or any local library which is established or maintained under any law of the Commonwealth or the library of any university, college or educational institution chartered by the Commonwealth or the library of any public school or branch reading room, </w:t>
      </w:r>
      <w:r w:rsidRPr="005B3E63">
        <w:rPr>
          <w:sz w:val="24"/>
          <w:szCs w:val="24"/>
        </w:rPr>
        <w:lastRenderedPageBreak/>
        <w:t xml:space="preserve">deposit station or agency operated in connection therewith, shall be confidential and shall not be made available to anyone except by a court order in a criminal proceeding.  </w:t>
      </w:r>
    </w:p>
    <w:p w:rsidR="00007562" w:rsidRDefault="00007562" w:rsidP="007E21AD">
      <w:pPr>
        <w:rPr>
          <w:sz w:val="24"/>
          <w:szCs w:val="24"/>
        </w:rPr>
      </w:pPr>
      <w:r>
        <w:rPr>
          <w:sz w:val="24"/>
          <w:szCs w:val="24"/>
        </w:rPr>
        <w:t>Both the Sunshine Law and the Right to Know Act apply to governmental agencies (i.e. municipal libraries).</w:t>
      </w:r>
    </w:p>
    <w:p w:rsidR="00007562" w:rsidRPr="005B3E63" w:rsidRDefault="00007562" w:rsidP="007E21AD">
      <w:pPr>
        <w:rPr>
          <w:sz w:val="24"/>
          <w:szCs w:val="24"/>
        </w:rPr>
      </w:pPr>
      <w:hyperlink r:id="rId10" w:history="1">
        <w:r w:rsidRPr="00F03E34">
          <w:rPr>
            <w:rStyle w:val="Hyperlink"/>
            <w:sz w:val="24"/>
            <w:szCs w:val="24"/>
          </w:rPr>
          <w:t>https://www.aclupa.org/files/1013/7960/5287/Open_Records_Pamphlet_9-13.pdf</w:t>
        </w:r>
      </w:hyperlink>
      <w:r>
        <w:rPr>
          <w:sz w:val="24"/>
          <w:szCs w:val="24"/>
        </w:rPr>
        <w:t xml:space="preserve"> </w:t>
      </w:r>
      <w:bookmarkStart w:id="0" w:name="_GoBack"/>
      <w:bookmarkEnd w:id="0"/>
    </w:p>
    <w:p w:rsidR="007E21AD" w:rsidRDefault="007E21AD" w:rsidP="002C3A08">
      <w:pPr>
        <w:spacing w:after="0" w:line="240" w:lineRule="auto"/>
        <w:rPr>
          <w:rFonts w:eastAsia="Times New Roman" w:cstheme="minorHAnsi"/>
          <w:color w:val="333333"/>
          <w:spacing w:val="8"/>
          <w:sz w:val="24"/>
          <w:szCs w:val="24"/>
        </w:rPr>
      </w:pPr>
    </w:p>
    <w:p w:rsidR="009D0615" w:rsidRDefault="005B3E63" w:rsidP="002C3A08">
      <w:pPr>
        <w:spacing w:after="0" w:line="240" w:lineRule="auto"/>
        <w:rPr>
          <w:rFonts w:eastAsia="Times New Roman" w:cstheme="minorHAnsi"/>
          <w:b/>
          <w:color w:val="333333"/>
          <w:spacing w:val="8"/>
          <w:sz w:val="28"/>
          <w:szCs w:val="28"/>
        </w:rPr>
      </w:pPr>
      <w:r>
        <w:rPr>
          <w:rFonts w:eastAsia="Times New Roman" w:cstheme="minorHAnsi"/>
          <w:b/>
          <w:color w:val="333333"/>
          <w:spacing w:val="8"/>
          <w:sz w:val="28"/>
          <w:szCs w:val="28"/>
        </w:rPr>
        <w:t>Policies</w:t>
      </w:r>
    </w:p>
    <w:p w:rsidR="005B3E63" w:rsidRPr="005B3E63" w:rsidRDefault="005B3E63" w:rsidP="002C3A08">
      <w:pPr>
        <w:spacing w:after="0" w:line="240" w:lineRule="auto"/>
        <w:rPr>
          <w:rFonts w:eastAsia="Times New Roman" w:cstheme="minorHAnsi"/>
          <w:b/>
          <w:color w:val="333333"/>
          <w:spacing w:val="8"/>
          <w:sz w:val="28"/>
          <w:szCs w:val="28"/>
        </w:rPr>
      </w:pPr>
    </w:p>
    <w:p w:rsidR="009D0615" w:rsidRPr="005B3E63" w:rsidRDefault="009D0615" w:rsidP="002C3A08">
      <w:pPr>
        <w:spacing w:after="0" w:line="240" w:lineRule="auto"/>
        <w:rPr>
          <w:rFonts w:eastAsia="Times New Roman" w:cstheme="minorHAnsi"/>
          <w:b/>
          <w:color w:val="333333"/>
          <w:spacing w:val="8"/>
          <w:sz w:val="24"/>
          <w:szCs w:val="24"/>
        </w:rPr>
      </w:pPr>
      <w:r w:rsidRPr="005B3E63">
        <w:rPr>
          <w:rFonts w:eastAsia="Times New Roman" w:cstheme="minorHAnsi"/>
          <w:b/>
          <w:color w:val="333333"/>
          <w:spacing w:val="8"/>
          <w:sz w:val="24"/>
          <w:szCs w:val="24"/>
        </w:rPr>
        <w:t>Mandatory:</w:t>
      </w:r>
    </w:p>
    <w:p w:rsidR="009D0615" w:rsidRDefault="009D0615"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 xml:space="preserve">In wake of Sarbanes/Oxley:  </w:t>
      </w:r>
    </w:p>
    <w:p w:rsidR="009D0615" w:rsidRDefault="009D0615"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Record Retention and Destruction Policy</w:t>
      </w:r>
    </w:p>
    <w:p w:rsidR="009D0615" w:rsidRDefault="005B3E63"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(F</w:t>
      </w:r>
      <w:r w:rsidR="007B03CD">
        <w:rPr>
          <w:rFonts w:eastAsia="Times New Roman" w:cstheme="minorHAnsi"/>
          <w:color w:val="333333"/>
          <w:spacing w:val="8"/>
          <w:sz w:val="24"/>
          <w:szCs w:val="24"/>
        </w:rPr>
        <w:t xml:space="preserve">inancial Records guidelines on </w:t>
      </w:r>
      <w:r w:rsidR="009D0615">
        <w:rPr>
          <w:rFonts w:eastAsia="Times New Roman" w:cstheme="minorHAnsi"/>
          <w:color w:val="333333"/>
          <w:spacing w:val="8"/>
          <w:sz w:val="24"/>
          <w:szCs w:val="24"/>
        </w:rPr>
        <w:t>Page 103, PA Public Library Accounting Manual</w:t>
      </w:r>
      <w:r>
        <w:rPr>
          <w:rFonts w:eastAsia="Times New Roman" w:cstheme="minorHAnsi"/>
          <w:color w:val="333333"/>
          <w:spacing w:val="8"/>
          <w:sz w:val="24"/>
          <w:szCs w:val="24"/>
        </w:rPr>
        <w:t>)</w:t>
      </w:r>
    </w:p>
    <w:p w:rsidR="005B3E63" w:rsidRDefault="005B3E63" w:rsidP="002C3A08">
      <w:pPr>
        <w:spacing w:after="0" w:line="240" w:lineRule="auto"/>
        <w:rPr>
          <w:rFonts w:eastAsia="Times New Roman" w:cstheme="minorHAnsi"/>
          <w:color w:val="333333"/>
          <w:spacing w:val="8"/>
          <w:sz w:val="24"/>
          <w:szCs w:val="24"/>
        </w:rPr>
      </w:pPr>
    </w:p>
    <w:p w:rsidR="009D0615" w:rsidRDefault="009D0615"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Whistle Blower Policy</w:t>
      </w:r>
    </w:p>
    <w:p w:rsidR="005B3E63" w:rsidRDefault="005B3E63" w:rsidP="002C3A08">
      <w:pPr>
        <w:spacing w:after="0" w:line="240" w:lineRule="auto"/>
        <w:rPr>
          <w:rFonts w:eastAsia="Times New Roman" w:cstheme="minorHAnsi"/>
          <w:color w:val="333333"/>
          <w:spacing w:val="8"/>
          <w:sz w:val="24"/>
          <w:szCs w:val="24"/>
        </w:rPr>
      </w:pPr>
    </w:p>
    <w:p w:rsidR="005B3E63" w:rsidRDefault="005B3E63"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Confidentiality (See PA Law.)</w:t>
      </w:r>
    </w:p>
    <w:p w:rsidR="005B3E63" w:rsidRPr="002C3A08" w:rsidRDefault="005B3E63" w:rsidP="002C3A08">
      <w:pPr>
        <w:spacing w:after="0" w:line="240" w:lineRule="auto"/>
        <w:rPr>
          <w:rFonts w:eastAsia="Times New Roman" w:cstheme="minorHAnsi"/>
          <w:color w:val="333333"/>
          <w:spacing w:val="8"/>
          <w:sz w:val="24"/>
          <w:szCs w:val="24"/>
        </w:rPr>
      </w:pPr>
      <w:r>
        <w:rPr>
          <w:rFonts w:eastAsia="Times New Roman" w:cstheme="minorHAnsi"/>
          <w:color w:val="333333"/>
          <w:spacing w:val="8"/>
          <w:sz w:val="24"/>
          <w:szCs w:val="24"/>
        </w:rPr>
        <w:t>Acceptable Use Policy (Internet Use) (</w:t>
      </w:r>
      <w:r w:rsidR="007B03CD">
        <w:rPr>
          <w:rFonts w:eastAsia="Times New Roman" w:cstheme="minorHAnsi"/>
          <w:color w:val="333333"/>
          <w:spacing w:val="8"/>
          <w:sz w:val="24"/>
          <w:szCs w:val="24"/>
        </w:rPr>
        <w:t>Should also include Wi-Fi Policy and CIPA.</w:t>
      </w:r>
      <w:r>
        <w:rPr>
          <w:rFonts w:eastAsia="Times New Roman" w:cstheme="minorHAnsi"/>
          <w:color w:val="333333"/>
          <w:spacing w:val="8"/>
          <w:sz w:val="24"/>
          <w:szCs w:val="24"/>
        </w:rPr>
        <w:t>)</w:t>
      </w:r>
    </w:p>
    <w:p w:rsidR="002C3A08" w:rsidRDefault="002C3A08" w:rsidP="002C3A08">
      <w:pPr>
        <w:spacing w:after="0" w:line="240" w:lineRule="auto"/>
        <w:rPr>
          <w:rFonts w:ascii="&amp;quot" w:eastAsia="Times New Roman" w:hAnsi="&amp;quot" w:cs="Times New Roman"/>
          <w:color w:val="333333"/>
          <w:spacing w:val="8"/>
          <w:sz w:val="24"/>
          <w:szCs w:val="24"/>
        </w:rPr>
      </w:pPr>
    </w:p>
    <w:p w:rsidR="002C3A08" w:rsidRDefault="005B3E63" w:rsidP="002C3A08">
      <w:pPr>
        <w:spacing w:after="0" w:line="240" w:lineRule="auto"/>
        <w:rPr>
          <w:rFonts w:ascii="&amp;quot" w:eastAsia="Times New Roman" w:hAnsi="&amp;quot" w:cs="Times New Roman"/>
          <w:b/>
          <w:color w:val="333333"/>
          <w:spacing w:val="8"/>
          <w:sz w:val="24"/>
          <w:szCs w:val="24"/>
        </w:rPr>
      </w:pPr>
      <w:r w:rsidRPr="005B3E63">
        <w:rPr>
          <w:rFonts w:ascii="&amp;quot" w:eastAsia="Times New Roman" w:hAnsi="&amp;quot" w:cs="Times New Roman"/>
          <w:b/>
          <w:color w:val="333333"/>
          <w:spacing w:val="8"/>
          <w:sz w:val="24"/>
          <w:szCs w:val="24"/>
        </w:rPr>
        <w:t>Advisable:</w:t>
      </w:r>
    </w:p>
    <w:p w:rsidR="005B3E63" w:rsidRDefault="005B3E63" w:rsidP="002C3A08">
      <w:pPr>
        <w:spacing w:after="0" w:line="240" w:lineRule="auto"/>
        <w:rPr>
          <w:rFonts w:ascii="&amp;quot" w:eastAsia="Times New Roman" w:hAnsi="&amp;quot" w:cs="Times New Roman"/>
          <w:b/>
          <w:color w:val="333333"/>
          <w:spacing w:val="8"/>
          <w:sz w:val="24"/>
          <w:szCs w:val="24"/>
        </w:rPr>
      </w:pP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Conflict of Interest (Board)</w:t>
      </w: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Equal Employment Opportunity</w:t>
      </w: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Complaint</w:t>
      </w: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Sexual Harassment</w:t>
      </w: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Unattended Child</w:t>
      </w:r>
    </w:p>
    <w:p w:rsidR="005B3E63" w:rsidRPr="005B3E63"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Meeting Room Use</w:t>
      </w:r>
    </w:p>
    <w:p w:rsidR="005B3E63" w:rsidRPr="002C3A08" w:rsidRDefault="005B3E63" w:rsidP="002C3A08">
      <w:pPr>
        <w:spacing w:after="0" w:line="240" w:lineRule="auto"/>
        <w:rPr>
          <w:rFonts w:eastAsia="Times New Roman" w:cstheme="minorHAnsi"/>
          <w:color w:val="333333"/>
          <w:spacing w:val="8"/>
          <w:sz w:val="24"/>
          <w:szCs w:val="24"/>
        </w:rPr>
      </w:pPr>
      <w:r w:rsidRPr="005B3E63">
        <w:rPr>
          <w:rFonts w:eastAsia="Times New Roman" w:cstheme="minorHAnsi"/>
          <w:color w:val="333333"/>
          <w:spacing w:val="8"/>
          <w:sz w:val="24"/>
          <w:szCs w:val="24"/>
        </w:rPr>
        <w:t>Patron Behavior (Code of Conduct)</w:t>
      </w:r>
    </w:p>
    <w:p w:rsidR="007E21AD" w:rsidRDefault="007E21AD" w:rsidP="005E1307">
      <w:pPr>
        <w:spacing w:after="0" w:line="240" w:lineRule="auto"/>
      </w:pPr>
    </w:p>
    <w:p w:rsidR="007E21AD" w:rsidRPr="005B3E63" w:rsidRDefault="007E21AD" w:rsidP="005E1307">
      <w:pPr>
        <w:spacing w:after="0" w:line="240" w:lineRule="auto"/>
        <w:rPr>
          <w:sz w:val="24"/>
          <w:szCs w:val="24"/>
        </w:rPr>
      </w:pPr>
      <w:r w:rsidRPr="005B3E63">
        <w:rPr>
          <w:sz w:val="24"/>
          <w:szCs w:val="24"/>
        </w:rPr>
        <w:t>Collection Development Policy</w:t>
      </w:r>
    </w:p>
    <w:p w:rsidR="007E21AD" w:rsidRPr="005B3E63" w:rsidRDefault="007E21AD" w:rsidP="005E1307">
      <w:pPr>
        <w:spacing w:after="0" w:line="240" w:lineRule="auto"/>
        <w:rPr>
          <w:sz w:val="24"/>
          <w:szCs w:val="24"/>
        </w:rPr>
      </w:pPr>
      <w:r w:rsidRPr="005B3E63">
        <w:rPr>
          <w:sz w:val="24"/>
          <w:szCs w:val="24"/>
        </w:rPr>
        <w:t>Deselection of Materials Policy</w:t>
      </w:r>
    </w:p>
    <w:p w:rsidR="007E21AD" w:rsidRPr="005B3E63" w:rsidRDefault="007E21AD" w:rsidP="005E1307">
      <w:pPr>
        <w:spacing w:after="0" w:line="240" w:lineRule="auto"/>
        <w:rPr>
          <w:sz w:val="24"/>
          <w:szCs w:val="24"/>
        </w:rPr>
      </w:pPr>
      <w:r w:rsidRPr="005B3E63">
        <w:rPr>
          <w:sz w:val="24"/>
          <w:szCs w:val="24"/>
        </w:rPr>
        <w:t>Reconsideration of Library Materials Policy</w:t>
      </w:r>
    </w:p>
    <w:p w:rsidR="007E21AD" w:rsidRDefault="007E21AD" w:rsidP="005E1307">
      <w:pPr>
        <w:spacing w:after="0" w:line="240" w:lineRule="auto"/>
      </w:pPr>
    </w:p>
    <w:p w:rsidR="007B03CD" w:rsidRPr="007B03CD" w:rsidRDefault="007B03CD" w:rsidP="005E1307">
      <w:pPr>
        <w:spacing w:after="0" w:line="240" w:lineRule="auto"/>
        <w:rPr>
          <w:b/>
        </w:rPr>
      </w:pPr>
      <w:r w:rsidRPr="007B03CD">
        <w:rPr>
          <w:b/>
        </w:rPr>
        <w:t>Foundations of Library Services:</w:t>
      </w:r>
    </w:p>
    <w:p w:rsidR="007B03CD" w:rsidRDefault="007B03CD" w:rsidP="005E1307">
      <w:pPr>
        <w:spacing w:after="0" w:line="240" w:lineRule="auto"/>
      </w:pPr>
      <w:r>
        <w:t>Both should be included in your policy manual and a vital part of staff training.</w:t>
      </w:r>
    </w:p>
    <w:p w:rsidR="007B03CD" w:rsidRDefault="007B03CD" w:rsidP="005E1307">
      <w:pPr>
        <w:spacing w:after="0" w:line="240" w:lineRule="auto"/>
      </w:pPr>
    </w:p>
    <w:p w:rsidR="007E21AD" w:rsidRDefault="007E21AD" w:rsidP="005E1307">
      <w:pPr>
        <w:spacing w:after="0" w:line="240" w:lineRule="auto"/>
        <w:rPr>
          <w:sz w:val="24"/>
          <w:szCs w:val="24"/>
        </w:rPr>
      </w:pPr>
      <w:r w:rsidRPr="005B3E63">
        <w:rPr>
          <w:sz w:val="24"/>
          <w:szCs w:val="24"/>
        </w:rPr>
        <w:t xml:space="preserve">Library Bill of </w:t>
      </w:r>
      <w:proofErr w:type="gramStart"/>
      <w:r w:rsidRPr="005B3E63">
        <w:rPr>
          <w:sz w:val="24"/>
          <w:szCs w:val="24"/>
        </w:rPr>
        <w:t>Rights</w:t>
      </w:r>
      <w:r w:rsidR="005B3E63">
        <w:rPr>
          <w:sz w:val="24"/>
          <w:szCs w:val="24"/>
        </w:rPr>
        <w:t xml:space="preserve">  (</w:t>
      </w:r>
      <w:proofErr w:type="gramEnd"/>
      <w:r w:rsidR="005B3E63">
        <w:rPr>
          <w:sz w:val="24"/>
          <w:szCs w:val="24"/>
        </w:rPr>
        <w:t>ALA)</w:t>
      </w:r>
      <w:r w:rsidR="007B03CD">
        <w:rPr>
          <w:sz w:val="24"/>
          <w:szCs w:val="24"/>
        </w:rPr>
        <w:t xml:space="preserve">  </w:t>
      </w:r>
      <w:hyperlink r:id="rId11" w:history="1">
        <w:r w:rsidR="007B03CD" w:rsidRPr="00106EDF">
          <w:rPr>
            <w:rStyle w:val="Hyperlink"/>
            <w:sz w:val="24"/>
            <w:szCs w:val="24"/>
          </w:rPr>
          <w:t>http://www.ala.org/advocacy/sites/ala.org.advocacy/files/content/intfreedom/librarybill/lbor.pdf</w:t>
        </w:r>
      </w:hyperlink>
      <w:r w:rsidR="007B03CD">
        <w:rPr>
          <w:sz w:val="24"/>
          <w:szCs w:val="24"/>
        </w:rPr>
        <w:t xml:space="preserve"> </w:t>
      </w:r>
    </w:p>
    <w:p w:rsidR="007B03CD" w:rsidRPr="005B3E63" w:rsidRDefault="007B03CD" w:rsidP="005E1307">
      <w:pPr>
        <w:spacing w:after="0" w:line="240" w:lineRule="auto"/>
        <w:rPr>
          <w:sz w:val="24"/>
          <w:szCs w:val="24"/>
        </w:rPr>
      </w:pPr>
    </w:p>
    <w:p w:rsidR="007E21AD" w:rsidRDefault="007E21AD" w:rsidP="005E1307">
      <w:pPr>
        <w:spacing w:after="0" w:line="240" w:lineRule="auto"/>
        <w:rPr>
          <w:sz w:val="24"/>
          <w:szCs w:val="24"/>
        </w:rPr>
      </w:pPr>
      <w:r w:rsidRPr="005B3E63">
        <w:rPr>
          <w:sz w:val="24"/>
          <w:szCs w:val="24"/>
        </w:rPr>
        <w:t>Freedom to Read</w:t>
      </w:r>
      <w:r w:rsidR="005B3E63">
        <w:rPr>
          <w:sz w:val="24"/>
          <w:szCs w:val="24"/>
        </w:rPr>
        <w:t xml:space="preserve"> Statement (ALA)</w:t>
      </w:r>
    </w:p>
    <w:p w:rsidR="007B03CD" w:rsidRDefault="00007562" w:rsidP="005E1307">
      <w:pPr>
        <w:spacing w:after="0" w:line="240" w:lineRule="auto"/>
        <w:rPr>
          <w:sz w:val="24"/>
          <w:szCs w:val="24"/>
        </w:rPr>
      </w:pPr>
      <w:hyperlink r:id="rId12" w:history="1">
        <w:r w:rsidR="007B03CD" w:rsidRPr="00106EDF">
          <w:rPr>
            <w:rStyle w:val="Hyperlink"/>
            <w:sz w:val="24"/>
            <w:szCs w:val="24"/>
          </w:rPr>
          <w:t>http://www.ala.org/aboutala/sites/ala.org.aboutala/files/content/LBOR%20%26%20FTR%20Statement.pdf</w:t>
        </w:r>
      </w:hyperlink>
      <w:r w:rsidR="007B03CD">
        <w:rPr>
          <w:sz w:val="24"/>
          <w:szCs w:val="24"/>
        </w:rPr>
        <w:t xml:space="preserve"> </w:t>
      </w:r>
    </w:p>
    <w:p w:rsidR="005B3E63" w:rsidRDefault="005B3E63" w:rsidP="005E1307">
      <w:pPr>
        <w:spacing w:after="0" w:line="240" w:lineRule="auto"/>
        <w:rPr>
          <w:sz w:val="24"/>
          <w:szCs w:val="24"/>
        </w:rPr>
      </w:pPr>
    </w:p>
    <w:p w:rsidR="005B3E63" w:rsidRPr="005B3E63" w:rsidRDefault="005B3E63" w:rsidP="005E1307">
      <w:pPr>
        <w:spacing w:after="0" w:line="240" w:lineRule="auto"/>
        <w:rPr>
          <w:sz w:val="24"/>
          <w:szCs w:val="24"/>
        </w:rPr>
      </w:pPr>
    </w:p>
    <w:p w:rsidR="007E21AD" w:rsidRPr="005B3E63" w:rsidRDefault="007E21AD" w:rsidP="007E21AD">
      <w:pPr>
        <w:spacing w:after="0" w:line="240" w:lineRule="auto"/>
        <w:rPr>
          <w:rFonts w:cstheme="minorHAnsi"/>
          <w:b/>
          <w:sz w:val="24"/>
          <w:szCs w:val="24"/>
        </w:rPr>
      </w:pPr>
      <w:r w:rsidRPr="005B3E63">
        <w:rPr>
          <w:rFonts w:cstheme="minorHAnsi"/>
          <w:b/>
          <w:sz w:val="24"/>
          <w:szCs w:val="24"/>
        </w:rPr>
        <w:t>Required for LSTA applicants:</w:t>
      </w:r>
      <w:r w:rsidR="005B3E63">
        <w:rPr>
          <w:rFonts w:cstheme="minorHAnsi"/>
          <w:b/>
          <w:sz w:val="24"/>
          <w:szCs w:val="24"/>
        </w:rPr>
        <w:t xml:space="preserve">  (Federal)</w:t>
      </w:r>
    </w:p>
    <w:p w:rsidR="007E21AD" w:rsidRPr="002C3A08" w:rsidRDefault="007E21AD" w:rsidP="007E21AD">
      <w:pPr>
        <w:spacing w:after="0" w:line="240" w:lineRule="auto"/>
        <w:rPr>
          <w:rFonts w:cstheme="minorHAnsi"/>
          <w:sz w:val="24"/>
          <w:szCs w:val="24"/>
        </w:rPr>
      </w:pPr>
    </w:p>
    <w:p w:rsidR="007E21AD" w:rsidRPr="002C3A08" w:rsidRDefault="007E21AD" w:rsidP="007E21AD">
      <w:pPr>
        <w:spacing w:after="0" w:line="240" w:lineRule="auto"/>
        <w:rPr>
          <w:rFonts w:cstheme="minorHAnsi"/>
          <w:sz w:val="24"/>
          <w:szCs w:val="24"/>
        </w:rPr>
      </w:pPr>
      <w:r w:rsidRPr="002C3A08">
        <w:rPr>
          <w:rFonts w:cstheme="minorHAnsi"/>
          <w:sz w:val="24"/>
          <w:szCs w:val="24"/>
        </w:rPr>
        <w:t xml:space="preserve">Before applying for a Library Services and Technology Act (LSTA) grant, all grant applicants must comply with </w:t>
      </w:r>
      <w:r w:rsidRPr="002C3A08">
        <w:rPr>
          <w:rFonts w:cstheme="minorHAnsi"/>
          <w:b/>
          <w:sz w:val="24"/>
          <w:szCs w:val="24"/>
        </w:rPr>
        <w:t>federal</w:t>
      </w:r>
      <w:r w:rsidRPr="002C3A08">
        <w:rPr>
          <w:rFonts w:cstheme="minorHAnsi"/>
          <w:sz w:val="24"/>
          <w:szCs w:val="24"/>
        </w:rPr>
        <w:t xml:space="preserve"> Uniform Administrative Requirements for grants (2 CFR §200.300 -  §200.345).</w:t>
      </w:r>
    </w:p>
    <w:p w:rsidR="007E21AD" w:rsidRPr="002C3A08" w:rsidRDefault="007E21AD" w:rsidP="007E21AD">
      <w:pPr>
        <w:spacing w:after="0" w:line="240" w:lineRule="auto"/>
        <w:rPr>
          <w:rFonts w:cstheme="minorHAnsi"/>
          <w:sz w:val="24"/>
          <w:szCs w:val="24"/>
        </w:rPr>
      </w:pPr>
      <w:r w:rsidRPr="002C3A08">
        <w:rPr>
          <w:rFonts w:cstheme="minorHAnsi"/>
          <w:sz w:val="24"/>
          <w:szCs w:val="24"/>
        </w:rPr>
        <w:t>This means that all applicants must have written:</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Cash management procedures </w:t>
      </w:r>
      <w:r w:rsidRPr="002C3A08">
        <w:rPr>
          <w:rFonts w:cstheme="minorHAnsi"/>
          <w:sz w:val="24"/>
          <w:szCs w:val="24"/>
        </w:rPr>
        <w:t xml:space="preserve">that establish LSTA fund controls and accountability, including written procedures for determining the </w:t>
      </w:r>
      <w:proofErr w:type="spellStart"/>
      <w:r w:rsidRPr="002C3A08">
        <w:rPr>
          <w:rFonts w:cstheme="minorHAnsi"/>
          <w:sz w:val="24"/>
          <w:szCs w:val="24"/>
        </w:rPr>
        <w:t>allowability</w:t>
      </w:r>
      <w:proofErr w:type="spellEnd"/>
      <w:r w:rsidRPr="002C3A08">
        <w:rPr>
          <w:rFonts w:cstheme="minorHAnsi"/>
          <w:sz w:val="24"/>
          <w:szCs w:val="24"/>
        </w:rPr>
        <w:t xml:space="preserve"> of costs under the terms and conditions of the LSTA award (2 CFR §200.302(b</w:t>
      </w:r>
      <w:proofErr w:type="gramStart"/>
      <w:r w:rsidRPr="002C3A08">
        <w:rPr>
          <w:rFonts w:cstheme="minorHAnsi"/>
          <w:sz w:val="24"/>
          <w:szCs w:val="24"/>
        </w:rPr>
        <w:t>)(</w:t>
      </w:r>
      <w:proofErr w:type="gramEnd"/>
      <w:r w:rsidRPr="002C3A08">
        <w:rPr>
          <w:rFonts w:cstheme="minorHAnsi"/>
          <w:sz w:val="24"/>
          <w:szCs w:val="24"/>
        </w:rPr>
        <w:t>6), §200.302(b)(7), §200.305).</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 xml:space="preserve">Bid and procurement procedures </w:t>
      </w:r>
      <w:r w:rsidRPr="002C3A08">
        <w:rPr>
          <w:rFonts w:cstheme="minorHAnsi"/>
          <w:sz w:val="24"/>
          <w:szCs w:val="24"/>
        </w:rPr>
        <w:t>that establish standards and controls for the purchase of all goods and services, including written procedures for the evaluation of the proposals received and for selecting awardees (2 CFR §200.319(c), §200.320(d</w:t>
      </w:r>
      <w:proofErr w:type="gramStart"/>
      <w:r w:rsidRPr="002C3A08">
        <w:rPr>
          <w:rFonts w:cstheme="minorHAnsi"/>
          <w:sz w:val="24"/>
          <w:szCs w:val="24"/>
        </w:rPr>
        <w:t>)(</w:t>
      </w:r>
      <w:proofErr w:type="gramEnd"/>
      <w:r w:rsidRPr="002C3A08">
        <w:rPr>
          <w:rFonts w:cstheme="minorHAnsi"/>
          <w:sz w:val="24"/>
          <w:szCs w:val="24"/>
        </w:rPr>
        <w:t>3)).</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Conflict of interest policy</w:t>
      </w:r>
      <w:r w:rsidRPr="002C3A08">
        <w:rPr>
          <w:rFonts w:cstheme="minorHAnsi"/>
          <w:sz w:val="24"/>
          <w:szCs w:val="24"/>
        </w:rPr>
        <w:t> that governs the actions of its employees and board members who engage in the selection, award, and administration of contracts, including disciplinary actions if the policy is violated (2 CFR §200.318(c)).</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Travel policy </w:t>
      </w:r>
      <w:r w:rsidRPr="002C3A08">
        <w:rPr>
          <w:rFonts w:cstheme="minorHAnsi"/>
          <w:sz w:val="24"/>
          <w:szCs w:val="24"/>
        </w:rPr>
        <w:t>(2 CFR §200.474(b)).</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Compensation and fringe benefit policy </w:t>
      </w:r>
      <w:r w:rsidRPr="002C3A08">
        <w:rPr>
          <w:rFonts w:cstheme="minorHAnsi"/>
          <w:sz w:val="24"/>
          <w:szCs w:val="24"/>
        </w:rPr>
        <w:t>if any federal funds are used for compensation and fringe benefits (2 CFR §200.430(a), §200.431(a), §200.464 [Relocation Costs of Employees]).</w:t>
      </w:r>
    </w:p>
    <w:p w:rsidR="007E21AD" w:rsidRPr="002C3A08" w:rsidRDefault="007E21AD" w:rsidP="007E21AD">
      <w:pPr>
        <w:numPr>
          <w:ilvl w:val="0"/>
          <w:numId w:val="1"/>
        </w:numPr>
        <w:spacing w:after="0" w:line="240" w:lineRule="auto"/>
        <w:rPr>
          <w:rFonts w:cstheme="minorHAnsi"/>
          <w:sz w:val="24"/>
          <w:szCs w:val="24"/>
        </w:rPr>
      </w:pPr>
      <w:r w:rsidRPr="002C3A08">
        <w:rPr>
          <w:rFonts w:cstheme="minorHAnsi"/>
          <w:b/>
          <w:bCs/>
          <w:sz w:val="24"/>
          <w:szCs w:val="24"/>
        </w:rPr>
        <w:t>Indirect cost rate development procedures </w:t>
      </w:r>
      <w:r w:rsidRPr="002C3A08">
        <w:rPr>
          <w:rFonts w:cstheme="minorHAnsi"/>
          <w:sz w:val="24"/>
          <w:szCs w:val="24"/>
        </w:rPr>
        <w:t>if an indirect cost rate other than 10 percent has been negotiated directly with the federal government. (2 CFR §200.414, §200.331(a</w:t>
      </w:r>
      <w:proofErr w:type="gramStart"/>
      <w:r w:rsidRPr="002C3A08">
        <w:rPr>
          <w:rFonts w:cstheme="minorHAnsi"/>
          <w:sz w:val="24"/>
          <w:szCs w:val="24"/>
        </w:rPr>
        <w:t>)(</w:t>
      </w:r>
      <w:proofErr w:type="gramEnd"/>
      <w:r w:rsidRPr="002C3A08">
        <w:rPr>
          <w:rFonts w:cstheme="minorHAnsi"/>
          <w:sz w:val="24"/>
          <w:szCs w:val="24"/>
        </w:rPr>
        <w:t>4), Appendices).</w:t>
      </w:r>
    </w:p>
    <w:p w:rsidR="007E21AD" w:rsidRPr="002C3A08" w:rsidRDefault="007E21AD" w:rsidP="007E21AD">
      <w:pPr>
        <w:spacing w:after="0" w:line="240" w:lineRule="auto"/>
        <w:rPr>
          <w:rFonts w:cstheme="minorHAnsi"/>
          <w:sz w:val="24"/>
          <w:szCs w:val="24"/>
        </w:rPr>
      </w:pPr>
    </w:p>
    <w:p w:rsidR="007E21AD" w:rsidRPr="002C3A08" w:rsidRDefault="007E21AD" w:rsidP="007E21AD">
      <w:pPr>
        <w:spacing w:after="0" w:line="240" w:lineRule="auto"/>
        <w:rPr>
          <w:rFonts w:cstheme="minorHAnsi"/>
          <w:sz w:val="24"/>
          <w:szCs w:val="24"/>
        </w:rPr>
      </w:pPr>
      <w:r w:rsidRPr="002C3A08">
        <w:rPr>
          <w:rFonts w:cstheme="minorHAnsi"/>
          <w:sz w:val="24"/>
          <w:szCs w:val="24"/>
        </w:rPr>
        <w:t xml:space="preserve">Must </w:t>
      </w:r>
      <w:r>
        <w:rPr>
          <w:rFonts w:cstheme="minorHAnsi"/>
          <w:sz w:val="24"/>
          <w:szCs w:val="24"/>
        </w:rPr>
        <w:t>also be in compliance with CIPA (Federal Law, see above.)</w:t>
      </w:r>
    </w:p>
    <w:p w:rsidR="007E21AD" w:rsidRDefault="007E21AD" w:rsidP="005E1307">
      <w:pPr>
        <w:spacing w:after="0" w:line="240" w:lineRule="auto"/>
      </w:pPr>
    </w:p>
    <w:sectPr w:rsidR="007E21AD" w:rsidSect="00CC0C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BC5"/>
    <w:multiLevelType w:val="hybridMultilevel"/>
    <w:tmpl w:val="785E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223A8"/>
    <w:multiLevelType w:val="hybridMultilevel"/>
    <w:tmpl w:val="E376B8E2"/>
    <w:lvl w:ilvl="0" w:tplc="4CF4981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D5CAA"/>
    <w:multiLevelType w:val="hybridMultilevel"/>
    <w:tmpl w:val="60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7750D"/>
    <w:multiLevelType w:val="hybridMultilevel"/>
    <w:tmpl w:val="7C14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9099F"/>
    <w:multiLevelType w:val="multilevel"/>
    <w:tmpl w:val="79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07"/>
    <w:rsid w:val="00007562"/>
    <w:rsid w:val="000942FC"/>
    <w:rsid w:val="000F0985"/>
    <w:rsid w:val="001A43D5"/>
    <w:rsid w:val="002C3A08"/>
    <w:rsid w:val="003F6A57"/>
    <w:rsid w:val="004B7881"/>
    <w:rsid w:val="00500E88"/>
    <w:rsid w:val="00543403"/>
    <w:rsid w:val="00582C1F"/>
    <w:rsid w:val="005B3E63"/>
    <w:rsid w:val="005E1307"/>
    <w:rsid w:val="00694602"/>
    <w:rsid w:val="007200A5"/>
    <w:rsid w:val="00751FC1"/>
    <w:rsid w:val="007B03CD"/>
    <w:rsid w:val="007B4BB1"/>
    <w:rsid w:val="007E21AD"/>
    <w:rsid w:val="008D5B25"/>
    <w:rsid w:val="009D0615"/>
    <w:rsid w:val="00A20BCB"/>
    <w:rsid w:val="00A223BB"/>
    <w:rsid w:val="00BE5B92"/>
    <w:rsid w:val="00C222BE"/>
    <w:rsid w:val="00C93CC2"/>
    <w:rsid w:val="00CC0C7D"/>
    <w:rsid w:val="00CC2109"/>
    <w:rsid w:val="00E02A7B"/>
    <w:rsid w:val="00E378DB"/>
    <w:rsid w:val="00F547B6"/>
    <w:rsid w:val="00F63FA5"/>
    <w:rsid w:val="00FC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4E28E-40D6-41D2-B26C-5B0E7202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A08"/>
    <w:rPr>
      <w:color w:val="0563C1" w:themeColor="hyperlink"/>
      <w:u w:val="single"/>
    </w:rPr>
  </w:style>
  <w:style w:type="paragraph" w:styleId="NormalWeb">
    <w:name w:val="Normal (Web)"/>
    <w:basedOn w:val="Normal"/>
    <w:uiPriority w:val="99"/>
    <w:semiHidden/>
    <w:unhideWhenUsed/>
    <w:rsid w:val="002C3A08"/>
    <w:rPr>
      <w:rFonts w:ascii="Times New Roman" w:hAnsi="Times New Roman" w:cs="Times New Roman"/>
      <w:sz w:val="24"/>
      <w:szCs w:val="24"/>
    </w:rPr>
  </w:style>
  <w:style w:type="paragraph" w:styleId="ListParagraph">
    <w:name w:val="List Paragraph"/>
    <w:basedOn w:val="Normal"/>
    <w:uiPriority w:val="34"/>
    <w:qFormat/>
    <w:rsid w:val="005B3E63"/>
    <w:pPr>
      <w:ind w:left="720"/>
      <w:contextualSpacing/>
    </w:pPr>
  </w:style>
  <w:style w:type="character" w:styleId="FollowedHyperlink">
    <w:name w:val="FollowedHyperlink"/>
    <w:basedOn w:val="DefaultParagraphFont"/>
    <w:uiPriority w:val="99"/>
    <w:semiHidden/>
    <w:unhideWhenUsed/>
    <w:rsid w:val="00A22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97550">
      <w:bodyDiv w:val="1"/>
      <w:marLeft w:val="0"/>
      <w:marRight w:val="0"/>
      <w:marTop w:val="0"/>
      <w:marBottom w:val="0"/>
      <w:divBdr>
        <w:top w:val="none" w:sz="0" w:space="0" w:color="auto"/>
        <w:left w:val="none" w:sz="0" w:space="0" w:color="auto"/>
        <w:bottom w:val="none" w:sz="0" w:space="0" w:color="auto"/>
        <w:right w:val="none" w:sz="0" w:space="0" w:color="auto"/>
      </w:divBdr>
    </w:div>
    <w:div w:id="443885632">
      <w:bodyDiv w:val="1"/>
      <w:marLeft w:val="0"/>
      <w:marRight w:val="0"/>
      <w:marTop w:val="0"/>
      <w:marBottom w:val="0"/>
      <w:divBdr>
        <w:top w:val="none" w:sz="0" w:space="0" w:color="auto"/>
        <w:left w:val="none" w:sz="0" w:space="0" w:color="auto"/>
        <w:bottom w:val="none" w:sz="0" w:space="0" w:color="auto"/>
        <w:right w:val="none" w:sz="0" w:space="0" w:color="auto"/>
      </w:divBdr>
    </w:div>
    <w:div w:id="11684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ibraries.org/page/Resources?&amp;hhsearchterms=%22clearances%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epkidssafe.pa.gov/about/cpsl/index.htm" TargetMode="External"/><Relationship Id="rId12" Type="http://schemas.openxmlformats.org/officeDocument/2006/relationships/hyperlink" Target="http://www.ala.org/aboutala/sites/ala.org.aboutala/files/content/LBOR%20%26%20FTR%20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care.gov/small-businesses/provide-shop-coverage/" TargetMode="External"/><Relationship Id="rId11" Type="http://schemas.openxmlformats.org/officeDocument/2006/relationships/hyperlink" Target="http://www.ala.org/advocacy/sites/ala.org.advocacy/files/content/intfreedom/librarybill/lbor.pdf" TargetMode="External"/><Relationship Id="rId5" Type="http://schemas.openxmlformats.org/officeDocument/2006/relationships/hyperlink" Target="http://www.ala.org/advocacy/sites/ala.org.advocacy/files/content/advleg/federallegislation/theusapatriotact/patstep.pdf" TargetMode="External"/><Relationship Id="rId10" Type="http://schemas.openxmlformats.org/officeDocument/2006/relationships/hyperlink" Target="https://www.aclupa.org/files/1013/7960/5287/Open_Records_Pamphlet_9-13.pdf" TargetMode="External"/><Relationship Id="rId4" Type="http://schemas.openxmlformats.org/officeDocument/2006/relationships/webSettings" Target="webSettings.xml"/><Relationship Id="rId9" Type="http://schemas.openxmlformats.org/officeDocument/2006/relationships/hyperlink" Target="http://www.reportabusepa.pit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DistAdmin</dc:creator>
  <cp:keywords/>
  <dc:description/>
  <cp:lastModifiedBy>DistAdmin</cp:lastModifiedBy>
  <cp:revision>10</cp:revision>
  <dcterms:created xsi:type="dcterms:W3CDTF">2018-11-26T19:48:00Z</dcterms:created>
  <dcterms:modified xsi:type="dcterms:W3CDTF">2018-11-30T20:33:00Z</dcterms:modified>
</cp:coreProperties>
</file>